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FD7E8" w14:textId="504D2D7E" w:rsidR="001A7F3A" w:rsidRDefault="001A7F3A" w:rsidP="00D75A7A">
      <w:pPr>
        <w:jc w:val="center"/>
        <w:rPr>
          <w:sz w:val="28"/>
          <w:szCs w:val="28"/>
        </w:rPr>
      </w:pPr>
      <w:r w:rsidRPr="00D75A7A"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1" locked="0" layoutInCell="1" allowOverlap="1" wp14:anchorId="729DD435" wp14:editId="47122D16">
            <wp:simplePos x="0" y="0"/>
            <wp:positionH relativeFrom="margin">
              <wp:align>center</wp:align>
            </wp:positionH>
            <wp:positionV relativeFrom="paragraph">
              <wp:posOffset>-535305</wp:posOffset>
            </wp:positionV>
            <wp:extent cx="1447800" cy="1771298"/>
            <wp:effectExtent l="0" t="0" r="0" b="63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7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1AB406" w14:textId="442165DA" w:rsidR="001A7F3A" w:rsidRDefault="001A7F3A" w:rsidP="00D75A7A">
      <w:pPr>
        <w:jc w:val="center"/>
        <w:rPr>
          <w:sz w:val="28"/>
          <w:szCs w:val="28"/>
        </w:rPr>
      </w:pPr>
    </w:p>
    <w:p w14:paraId="7B7934B9" w14:textId="5E108F0C" w:rsidR="001A7F3A" w:rsidRDefault="001A7F3A" w:rsidP="00D75A7A">
      <w:pPr>
        <w:jc w:val="center"/>
        <w:rPr>
          <w:sz w:val="28"/>
          <w:szCs w:val="28"/>
        </w:rPr>
      </w:pPr>
    </w:p>
    <w:p w14:paraId="499627E3" w14:textId="68C2D38B" w:rsidR="009222A9" w:rsidRPr="00D75A7A" w:rsidRDefault="009222A9" w:rsidP="00D75A7A">
      <w:pPr>
        <w:jc w:val="center"/>
        <w:rPr>
          <w:sz w:val="28"/>
          <w:szCs w:val="28"/>
        </w:rPr>
      </w:pPr>
    </w:p>
    <w:p w14:paraId="208502F0" w14:textId="0AA16434" w:rsidR="00D75A7A" w:rsidRPr="00800670" w:rsidRDefault="00AC7206" w:rsidP="00D75A7A">
      <w:pPr>
        <w:jc w:val="center"/>
        <w:rPr>
          <w:b/>
          <w:sz w:val="28"/>
          <w:szCs w:val="28"/>
        </w:rPr>
      </w:pPr>
      <w:r w:rsidRPr="00800670">
        <w:rPr>
          <w:b/>
          <w:sz w:val="28"/>
          <w:szCs w:val="28"/>
        </w:rPr>
        <w:t>3</w:t>
      </w:r>
      <w:r w:rsidR="003D41F5">
        <w:rPr>
          <w:b/>
          <w:sz w:val="28"/>
          <w:szCs w:val="28"/>
        </w:rPr>
        <w:t>7</w:t>
      </w:r>
      <w:r w:rsidR="00D75A7A" w:rsidRPr="00800670">
        <w:rPr>
          <w:b/>
          <w:sz w:val="28"/>
          <w:szCs w:val="28"/>
        </w:rPr>
        <w:t>. Prof. Dr. Şeref Zileli Anma ve Hacettepe İç Hastalıkları Günü</w:t>
      </w:r>
    </w:p>
    <w:p w14:paraId="29CE7201" w14:textId="63C1BFC7" w:rsidR="00D75A7A" w:rsidRPr="00800670" w:rsidRDefault="00AC7206" w:rsidP="00D75A7A">
      <w:pPr>
        <w:jc w:val="center"/>
        <w:rPr>
          <w:b/>
          <w:sz w:val="28"/>
          <w:szCs w:val="28"/>
        </w:rPr>
      </w:pPr>
      <w:r w:rsidRPr="00800670">
        <w:rPr>
          <w:b/>
          <w:sz w:val="28"/>
          <w:szCs w:val="28"/>
        </w:rPr>
        <w:t>2</w:t>
      </w:r>
      <w:r w:rsidR="003D41F5">
        <w:rPr>
          <w:b/>
          <w:sz w:val="28"/>
          <w:szCs w:val="28"/>
        </w:rPr>
        <w:t>4</w:t>
      </w:r>
      <w:r w:rsidRPr="00800670">
        <w:rPr>
          <w:b/>
          <w:sz w:val="28"/>
          <w:szCs w:val="28"/>
        </w:rPr>
        <w:t xml:space="preserve"> Şubat 202</w:t>
      </w:r>
      <w:r w:rsidR="003D41F5">
        <w:rPr>
          <w:b/>
          <w:sz w:val="28"/>
          <w:szCs w:val="28"/>
        </w:rPr>
        <w:t>2</w:t>
      </w:r>
    </w:p>
    <w:p w14:paraId="22FEB8E4" w14:textId="77777777" w:rsidR="00D75A7A" w:rsidRPr="00800670" w:rsidRDefault="00D75A7A" w:rsidP="00D75A7A">
      <w:pPr>
        <w:rPr>
          <w:b/>
          <w:sz w:val="24"/>
          <w:szCs w:val="24"/>
        </w:rPr>
      </w:pPr>
      <w:r w:rsidRPr="00800670">
        <w:rPr>
          <w:b/>
          <w:sz w:val="24"/>
          <w:szCs w:val="24"/>
        </w:rPr>
        <w:t>Prof. Dr. Şeref Zileli Konferansları</w:t>
      </w:r>
    </w:p>
    <w:p w14:paraId="2107C717" w14:textId="1F588068" w:rsidR="00D75A7A" w:rsidRPr="00800670" w:rsidRDefault="00800670" w:rsidP="00AC7206">
      <w:pPr>
        <w:rPr>
          <w:sz w:val="24"/>
          <w:szCs w:val="24"/>
        </w:rPr>
      </w:pPr>
      <w:r w:rsidRPr="00800670">
        <w:rPr>
          <w:sz w:val="24"/>
          <w:szCs w:val="24"/>
        </w:rPr>
        <w:t>“</w:t>
      </w:r>
      <w:r w:rsidR="003D41F5">
        <w:rPr>
          <w:sz w:val="24"/>
          <w:szCs w:val="24"/>
        </w:rPr>
        <w:t>Türkiye’nin Kanserli Köyleri/Çe</w:t>
      </w:r>
      <w:r w:rsidR="001A7F3A">
        <w:rPr>
          <w:sz w:val="24"/>
          <w:szCs w:val="24"/>
        </w:rPr>
        <w:t>v</w:t>
      </w:r>
      <w:r w:rsidR="003D41F5">
        <w:rPr>
          <w:sz w:val="24"/>
          <w:szCs w:val="24"/>
        </w:rPr>
        <w:t xml:space="preserve">resel Asbest ve </w:t>
      </w:r>
      <w:proofErr w:type="spellStart"/>
      <w:r w:rsidR="003D41F5">
        <w:rPr>
          <w:sz w:val="24"/>
          <w:szCs w:val="24"/>
        </w:rPr>
        <w:t>Erionite</w:t>
      </w:r>
      <w:proofErr w:type="spellEnd"/>
      <w:r w:rsidR="003D41F5">
        <w:rPr>
          <w:sz w:val="24"/>
          <w:szCs w:val="24"/>
        </w:rPr>
        <w:t xml:space="preserve"> </w:t>
      </w:r>
      <w:proofErr w:type="spellStart"/>
      <w:r w:rsidR="003D41F5">
        <w:rPr>
          <w:sz w:val="24"/>
          <w:szCs w:val="24"/>
        </w:rPr>
        <w:t>Maruziyeti</w:t>
      </w:r>
      <w:proofErr w:type="spellEnd"/>
      <w:r w:rsidRPr="00800670">
        <w:rPr>
          <w:sz w:val="24"/>
          <w:szCs w:val="24"/>
        </w:rPr>
        <w:t>”</w:t>
      </w:r>
      <w:r w:rsidR="00AC7206" w:rsidRPr="00800670">
        <w:rPr>
          <w:sz w:val="24"/>
          <w:szCs w:val="24"/>
        </w:rPr>
        <w:t xml:space="preserve"> </w:t>
      </w:r>
      <w:proofErr w:type="spellStart"/>
      <w:proofErr w:type="gramStart"/>
      <w:r w:rsidR="003D41F5">
        <w:rPr>
          <w:i/>
          <w:sz w:val="24"/>
          <w:szCs w:val="24"/>
        </w:rPr>
        <w:t>Prof.Dr.Lütfi</w:t>
      </w:r>
      <w:proofErr w:type="spellEnd"/>
      <w:proofErr w:type="gramEnd"/>
      <w:r w:rsidR="003D41F5">
        <w:rPr>
          <w:i/>
          <w:sz w:val="24"/>
          <w:szCs w:val="24"/>
        </w:rPr>
        <w:t xml:space="preserve"> Çöplü</w:t>
      </w:r>
    </w:p>
    <w:p w14:paraId="426D830A" w14:textId="00FEE03A" w:rsidR="00D75A7A" w:rsidRPr="00800670" w:rsidRDefault="00800670" w:rsidP="00800670">
      <w:pPr>
        <w:spacing w:line="360" w:lineRule="auto"/>
        <w:rPr>
          <w:i/>
          <w:sz w:val="24"/>
          <w:szCs w:val="24"/>
        </w:rPr>
      </w:pPr>
      <w:r w:rsidRPr="00800670">
        <w:rPr>
          <w:rFonts w:eastAsia="Arial"/>
          <w:sz w:val="24"/>
          <w:szCs w:val="24"/>
        </w:rPr>
        <w:t>“</w:t>
      </w:r>
      <w:r w:rsidR="003D41F5">
        <w:rPr>
          <w:rFonts w:eastAsia="Arial"/>
          <w:sz w:val="24"/>
          <w:szCs w:val="24"/>
        </w:rPr>
        <w:t>İnsan ve Gıda Sistemi</w:t>
      </w:r>
      <w:r w:rsidRPr="00800670">
        <w:rPr>
          <w:rFonts w:eastAsia="Arial"/>
          <w:sz w:val="24"/>
          <w:szCs w:val="24"/>
        </w:rPr>
        <w:t xml:space="preserve">” </w:t>
      </w:r>
      <w:proofErr w:type="spellStart"/>
      <w:proofErr w:type="gramStart"/>
      <w:r w:rsidRPr="00800670">
        <w:rPr>
          <w:rFonts w:eastAsia="Arial"/>
          <w:i/>
          <w:sz w:val="24"/>
          <w:szCs w:val="24"/>
        </w:rPr>
        <w:t>Prof.Dr.</w:t>
      </w:r>
      <w:r w:rsidR="003D41F5">
        <w:rPr>
          <w:rFonts w:eastAsia="Arial"/>
          <w:i/>
          <w:sz w:val="24"/>
          <w:szCs w:val="24"/>
        </w:rPr>
        <w:t>Vural</w:t>
      </w:r>
      <w:proofErr w:type="spellEnd"/>
      <w:proofErr w:type="gramEnd"/>
      <w:r w:rsidR="003D41F5">
        <w:rPr>
          <w:rFonts w:eastAsia="Arial"/>
          <w:i/>
          <w:sz w:val="24"/>
          <w:szCs w:val="24"/>
        </w:rPr>
        <w:t xml:space="preserve"> Gökmen</w:t>
      </w:r>
    </w:p>
    <w:p w14:paraId="4ED0E88B" w14:textId="77777777" w:rsidR="00D75A7A" w:rsidRPr="00800670" w:rsidRDefault="00D75A7A" w:rsidP="00800670">
      <w:pPr>
        <w:jc w:val="center"/>
        <w:rPr>
          <w:b/>
          <w:sz w:val="24"/>
          <w:szCs w:val="24"/>
        </w:rPr>
      </w:pPr>
      <w:r w:rsidRPr="00800670">
        <w:rPr>
          <w:b/>
          <w:sz w:val="24"/>
          <w:szCs w:val="24"/>
        </w:rPr>
        <w:t>Prof. Dr. Şeref Zileli Ödülleri</w:t>
      </w:r>
    </w:p>
    <w:p w14:paraId="3F75F908" w14:textId="77777777" w:rsidR="00D75A7A" w:rsidRPr="00800670" w:rsidRDefault="00D75A7A" w:rsidP="00D75A7A">
      <w:pPr>
        <w:rPr>
          <w:sz w:val="24"/>
          <w:szCs w:val="24"/>
        </w:rPr>
      </w:pPr>
      <w:r w:rsidRPr="00800670">
        <w:rPr>
          <w:sz w:val="24"/>
          <w:szCs w:val="24"/>
        </w:rPr>
        <w:t>En İyi Tez-Yayın Ödülleri</w:t>
      </w:r>
    </w:p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2410"/>
        <w:gridCol w:w="2268"/>
        <w:gridCol w:w="5812"/>
      </w:tblGrid>
      <w:tr w:rsidR="00FC3F52" w:rsidRPr="0095308B" w14:paraId="314D9341" w14:textId="77777777" w:rsidTr="001A7F3A">
        <w:tc>
          <w:tcPr>
            <w:tcW w:w="2410" w:type="dxa"/>
          </w:tcPr>
          <w:p w14:paraId="3A615876" w14:textId="77777777" w:rsidR="00965936" w:rsidRPr="0095308B" w:rsidRDefault="00965936" w:rsidP="00D75A7A">
            <w:pPr>
              <w:rPr>
                <w:color w:val="FF000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308B">
              <w:rPr>
                <w:color w:val="FF000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Tez Sahibi</w:t>
            </w:r>
          </w:p>
        </w:tc>
        <w:tc>
          <w:tcPr>
            <w:tcW w:w="2268" w:type="dxa"/>
          </w:tcPr>
          <w:p w14:paraId="438B8294" w14:textId="77777777" w:rsidR="00965936" w:rsidRPr="0095308B" w:rsidRDefault="00965936" w:rsidP="00D75A7A">
            <w:pPr>
              <w:rPr>
                <w:color w:val="FF000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308B">
              <w:rPr>
                <w:color w:val="FF000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Tez Danışmanı</w:t>
            </w:r>
          </w:p>
        </w:tc>
        <w:tc>
          <w:tcPr>
            <w:tcW w:w="5812" w:type="dxa"/>
          </w:tcPr>
          <w:p w14:paraId="5A1D4E31" w14:textId="77777777" w:rsidR="00965936" w:rsidRPr="0095308B" w:rsidRDefault="00965936" w:rsidP="00D75A7A">
            <w:pPr>
              <w:rPr>
                <w:color w:val="FF000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308B">
              <w:rPr>
                <w:color w:val="FF000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Yayın</w:t>
            </w:r>
          </w:p>
        </w:tc>
      </w:tr>
      <w:tr w:rsidR="00FC3F52" w:rsidRPr="0095308B" w14:paraId="1D245A34" w14:textId="77777777" w:rsidTr="001A7F3A">
        <w:tc>
          <w:tcPr>
            <w:tcW w:w="2410" w:type="dxa"/>
          </w:tcPr>
          <w:p w14:paraId="08C904B4" w14:textId="77777777" w:rsidR="0095308B" w:rsidRPr="0095308B" w:rsidRDefault="0095308B" w:rsidP="0095308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5308B">
              <w:rPr>
                <w:sz w:val="20"/>
                <w:szCs w:val="20"/>
              </w:rPr>
              <w:t>Uzm.Dr.Onur</w:t>
            </w:r>
            <w:proofErr w:type="spellEnd"/>
            <w:proofErr w:type="gramEnd"/>
            <w:r w:rsidRPr="0095308B">
              <w:rPr>
                <w:sz w:val="20"/>
                <w:szCs w:val="20"/>
              </w:rPr>
              <w:t xml:space="preserve"> Baş</w:t>
            </w:r>
          </w:p>
          <w:p w14:paraId="74D63DB0" w14:textId="15877610" w:rsidR="00965936" w:rsidRPr="0095308B" w:rsidRDefault="00965936" w:rsidP="00D75A7A">
            <w:pPr>
              <w:rPr>
                <w:color w:val="FF000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</w:tcPr>
          <w:p w14:paraId="5A09913B" w14:textId="1BA5F458" w:rsidR="00965936" w:rsidRPr="0095308B" w:rsidRDefault="0095308B" w:rsidP="00D75A7A">
            <w:pPr>
              <w:rPr>
                <w:color w:val="FF000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308B">
              <w:rPr>
                <w:sz w:val="20"/>
                <w:szCs w:val="20"/>
              </w:rPr>
              <w:t>Prof. Dr. Ömer Dizdar</w:t>
            </w:r>
          </w:p>
        </w:tc>
        <w:tc>
          <w:tcPr>
            <w:tcW w:w="5812" w:type="dxa"/>
          </w:tcPr>
          <w:p w14:paraId="3C156DDC" w14:textId="71F1E750" w:rsidR="00965936" w:rsidRPr="0095308B" w:rsidRDefault="0095308B" w:rsidP="0095308B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Bas O, Erdemir AG, Onur MR,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Ozer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N,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Sener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YZ, Aksu S,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Barista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I,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Guner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G,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Guven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DC, Kertmen N, Aksoy S,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Turker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A, Dizdar O.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Sarcopenia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anthracycline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cardiotoxicity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patients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with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cancer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.</w:t>
            </w:r>
            <w:r w:rsidRPr="0095308B">
              <w:rPr>
                <w:sz w:val="20"/>
                <w:szCs w:val="20"/>
              </w:rPr>
              <w:t xml:space="preserve"> </w:t>
            </w:r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BMJ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Supportive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Palliative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Care</w:t>
            </w:r>
            <w:proofErr w:type="spellEnd"/>
            <w:r w:rsidRPr="0095308B">
              <w:rPr>
                <w:rFonts w:eastAsia="Times New Roman" w:cs="Times New Roman"/>
                <w:i/>
                <w:sz w:val="20"/>
                <w:szCs w:val="20"/>
                <w:lang w:eastAsia="tr-TR"/>
              </w:rPr>
              <w:t>,</w:t>
            </w:r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2021;doi:10.1136/bmjspcare-2021-003197</w:t>
            </w:r>
          </w:p>
        </w:tc>
      </w:tr>
      <w:tr w:rsidR="0095308B" w:rsidRPr="0095308B" w14:paraId="551CE5FF" w14:textId="77777777" w:rsidTr="001A7F3A">
        <w:tc>
          <w:tcPr>
            <w:tcW w:w="2410" w:type="dxa"/>
          </w:tcPr>
          <w:p w14:paraId="5CA3325C" w14:textId="77777777" w:rsidR="0095308B" w:rsidRPr="0095308B" w:rsidRDefault="0095308B" w:rsidP="0095308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5308B">
              <w:rPr>
                <w:sz w:val="20"/>
                <w:szCs w:val="20"/>
              </w:rPr>
              <w:t>Uzm.Dr.Alper</w:t>
            </w:r>
            <w:proofErr w:type="spellEnd"/>
            <w:proofErr w:type="gramEnd"/>
            <w:r w:rsidRPr="0095308B">
              <w:rPr>
                <w:sz w:val="20"/>
                <w:szCs w:val="20"/>
              </w:rPr>
              <w:t xml:space="preserve"> Tuna Güven</w:t>
            </w:r>
          </w:p>
          <w:p w14:paraId="557B1E58" w14:textId="6F70FCE8" w:rsidR="0095308B" w:rsidRPr="0095308B" w:rsidRDefault="0095308B" w:rsidP="00F843DC">
            <w:pPr>
              <w:rPr>
                <w:color w:val="FF000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</w:tcPr>
          <w:p w14:paraId="22E32667" w14:textId="77777777" w:rsidR="0095308B" w:rsidRPr="0095308B" w:rsidRDefault="0095308B" w:rsidP="0095308B">
            <w:pPr>
              <w:rPr>
                <w:sz w:val="20"/>
                <w:szCs w:val="20"/>
              </w:rPr>
            </w:pPr>
            <w:r w:rsidRPr="0095308B">
              <w:rPr>
                <w:sz w:val="20"/>
                <w:szCs w:val="20"/>
              </w:rPr>
              <w:t>Prof. Dr. Mustafa Arıcı</w:t>
            </w:r>
          </w:p>
          <w:p w14:paraId="6F4802B0" w14:textId="726EE20E" w:rsidR="0095308B" w:rsidRPr="0095308B" w:rsidRDefault="0095308B" w:rsidP="00F843DC">
            <w:pPr>
              <w:rPr>
                <w:color w:val="FF000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812" w:type="dxa"/>
          </w:tcPr>
          <w:p w14:paraId="389C0948" w14:textId="73E5222F" w:rsidR="0095308B" w:rsidRPr="0095308B" w:rsidRDefault="0095308B" w:rsidP="0095308B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Guven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AT,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Idilman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IS,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Cebrayilov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C,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Onal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C, Kibar MU,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Saglam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A,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Yildirim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T,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Yilmaz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SR,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Altun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B, Erdem Y,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Karcaaltincaba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M,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Arici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M. Evaluation of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renal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fibrosis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various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causes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glomerulonephritis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by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MR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elastography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: a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clinicopathologic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comparative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analysis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.</w:t>
            </w:r>
            <w:r w:rsidRPr="0095308B">
              <w:rPr>
                <w:sz w:val="20"/>
                <w:szCs w:val="20"/>
              </w:rPr>
              <w:t xml:space="preserve">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Abdominal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Radiology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, 2021;doi:10.1007/s00261-021-03296-1</w:t>
            </w:r>
          </w:p>
        </w:tc>
      </w:tr>
      <w:tr w:rsidR="0095308B" w:rsidRPr="0095308B" w14:paraId="7E31F2F7" w14:textId="77777777" w:rsidTr="001A7F3A">
        <w:tc>
          <w:tcPr>
            <w:tcW w:w="2410" w:type="dxa"/>
          </w:tcPr>
          <w:p w14:paraId="60F8E3E0" w14:textId="77777777" w:rsidR="0095308B" w:rsidRPr="0095308B" w:rsidRDefault="0095308B" w:rsidP="0095308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5308B">
              <w:rPr>
                <w:sz w:val="20"/>
                <w:szCs w:val="20"/>
              </w:rPr>
              <w:t>Uzm.Dr.Mustafa</w:t>
            </w:r>
            <w:proofErr w:type="spellEnd"/>
            <w:proofErr w:type="gramEnd"/>
            <w:r w:rsidRPr="0095308B">
              <w:rPr>
                <w:sz w:val="20"/>
                <w:szCs w:val="20"/>
              </w:rPr>
              <w:t xml:space="preserve"> Ekici</w:t>
            </w:r>
          </w:p>
          <w:p w14:paraId="10057879" w14:textId="48C24C60" w:rsidR="0095308B" w:rsidRPr="0095308B" w:rsidRDefault="0095308B" w:rsidP="00F843DC">
            <w:pPr>
              <w:rPr>
                <w:color w:val="FF000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</w:tcPr>
          <w:p w14:paraId="42981D63" w14:textId="77777777" w:rsidR="0095308B" w:rsidRPr="0095308B" w:rsidRDefault="0095308B" w:rsidP="0095308B">
            <w:pPr>
              <w:rPr>
                <w:sz w:val="20"/>
                <w:szCs w:val="20"/>
              </w:rPr>
            </w:pPr>
            <w:r w:rsidRPr="0095308B">
              <w:rPr>
                <w:sz w:val="20"/>
                <w:szCs w:val="20"/>
              </w:rPr>
              <w:t>Prof. Dr. Umut Kalyoncu</w:t>
            </w:r>
          </w:p>
          <w:p w14:paraId="3CEB791F" w14:textId="23BA7145" w:rsidR="0095308B" w:rsidRPr="0095308B" w:rsidRDefault="0095308B" w:rsidP="00F843DC">
            <w:pPr>
              <w:rPr>
                <w:color w:val="FF000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812" w:type="dxa"/>
          </w:tcPr>
          <w:p w14:paraId="309278D3" w14:textId="142FDF13" w:rsidR="0095308B" w:rsidRPr="0095308B" w:rsidRDefault="0095308B" w:rsidP="0095308B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Ekici M, Baytar Y,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Kardas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RC, </w:t>
            </w:r>
            <w:proofErr w:type="gram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Sari</w:t>
            </w:r>
            <w:proofErr w:type="gram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A,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Akdogan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A,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Durhan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G,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Ariyurek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M, Kalyoncu U.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Predictors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mortality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rheumatoid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arthritis-associated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lung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disease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: A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retrospective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study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on ten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years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.</w:t>
            </w:r>
            <w:r w:rsidRPr="0095308B">
              <w:rPr>
                <w:sz w:val="20"/>
                <w:szCs w:val="20"/>
              </w:rPr>
              <w:t xml:space="preserve">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Joint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Bone </w:t>
            </w:r>
            <w:proofErr w:type="spellStart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Spine</w:t>
            </w:r>
            <w:proofErr w:type="spellEnd"/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, 2021;doi:</w:t>
            </w:r>
            <w:r w:rsidRPr="0095308B">
              <w:rPr>
                <w:sz w:val="20"/>
                <w:szCs w:val="20"/>
              </w:rPr>
              <w:t xml:space="preserve"> </w:t>
            </w:r>
            <w:r w:rsidRPr="0095308B">
              <w:rPr>
                <w:rFonts w:eastAsia="Times New Roman" w:cs="Times New Roman"/>
                <w:sz w:val="20"/>
                <w:szCs w:val="20"/>
                <w:lang w:eastAsia="tr-TR"/>
              </w:rPr>
              <w:t>10.1016/j.jbspin.2021.105133</w:t>
            </w:r>
          </w:p>
        </w:tc>
      </w:tr>
    </w:tbl>
    <w:p w14:paraId="6CF38CE1" w14:textId="77777777" w:rsidR="0095308B" w:rsidRDefault="0095308B" w:rsidP="00D75A7A">
      <w:pPr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E53DA2" w14:textId="5D42F666" w:rsidR="00D75A7A" w:rsidRPr="001A7F3A" w:rsidRDefault="00D75A7A" w:rsidP="00D75A7A">
      <w:pP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1A7F3A"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Başarılı Araştırma Görevlisi Ödülleri</w:t>
      </w:r>
    </w:p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="001A7F3A" w:rsidRPr="001A7F3A" w14:paraId="4FB57CCE" w14:textId="77777777" w:rsidTr="001A7F3A">
        <w:tc>
          <w:tcPr>
            <w:tcW w:w="4536" w:type="dxa"/>
          </w:tcPr>
          <w:p w14:paraId="187A60EC" w14:textId="7F374D14" w:rsidR="001132CD" w:rsidRPr="001A7F3A" w:rsidRDefault="001132CD" w:rsidP="00943CBE">
            <w:pPr>
              <w:jc w:val="both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7F3A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 Hastalıkları</w:t>
            </w:r>
          </w:p>
        </w:tc>
        <w:tc>
          <w:tcPr>
            <w:tcW w:w="5954" w:type="dxa"/>
          </w:tcPr>
          <w:p w14:paraId="003D694F" w14:textId="0BA6A5BD" w:rsidR="0095308B" w:rsidRPr="001A7F3A" w:rsidRDefault="0095308B" w:rsidP="0095308B">
            <w:pPr>
              <w:jc w:val="both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A7F3A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Dr.Taha</w:t>
            </w:r>
            <w:proofErr w:type="spellEnd"/>
            <w:r w:rsidRPr="001A7F3A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Koray Şahin</w:t>
            </w:r>
          </w:p>
          <w:p w14:paraId="4EFDADFA" w14:textId="56C83F6E" w:rsidR="0095308B" w:rsidRPr="001A7F3A" w:rsidRDefault="0095308B" w:rsidP="0095308B">
            <w:pPr>
              <w:jc w:val="both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A7F3A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Dr.Deniz</w:t>
            </w:r>
            <w:proofErr w:type="spellEnd"/>
            <w:r w:rsidRPr="001A7F3A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Aral Özbek</w:t>
            </w:r>
          </w:p>
          <w:p w14:paraId="75082516" w14:textId="393AC114" w:rsidR="0095308B" w:rsidRPr="001A7F3A" w:rsidRDefault="0095308B" w:rsidP="0095308B">
            <w:pPr>
              <w:jc w:val="both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proofErr w:type="gramStart"/>
            <w:r w:rsidRPr="001A7F3A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Dr.Engin</w:t>
            </w:r>
            <w:proofErr w:type="spellEnd"/>
            <w:r w:rsidRPr="001A7F3A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Çeşmeci</w:t>
            </w:r>
            <w:proofErr w:type="gramEnd"/>
          </w:p>
          <w:p w14:paraId="5483C057" w14:textId="180642BA" w:rsidR="0095308B" w:rsidRPr="001A7F3A" w:rsidRDefault="0095308B" w:rsidP="0095308B">
            <w:pPr>
              <w:jc w:val="both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A7F3A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Dr.Melek</w:t>
            </w:r>
            <w:proofErr w:type="spellEnd"/>
            <w:r w:rsidRPr="001A7F3A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Seren </w:t>
            </w:r>
            <w:proofErr w:type="spellStart"/>
            <w:r w:rsidRPr="001A7F3A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Aksun</w:t>
            </w:r>
            <w:proofErr w:type="spellEnd"/>
          </w:p>
          <w:p w14:paraId="5D76B37A" w14:textId="2D6FFB14" w:rsidR="0095308B" w:rsidRPr="001A7F3A" w:rsidRDefault="0095308B" w:rsidP="0095308B">
            <w:pPr>
              <w:jc w:val="both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A7F3A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Dr.Berşan</w:t>
            </w:r>
            <w:proofErr w:type="spellEnd"/>
            <w:r w:rsidRPr="001A7F3A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Özcan</w:t>
            </w:r>
          </w:p>
          <w:p w14:paraId="2DD04269" w14:textId="3BFFFD3E" w:rsidR="0095308B" w:rsidRPr="001A7F3A" w:rsidRDefault="0095308B" w:rsidP="0095308B">
            <w:pPr>
              <w:jc w:val="both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A7F3A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Dr.Enes</w:t>
            </w:r>
            <w:proofErr w:type="spellEnd"/>
            <w:r w:rsidRPr="001A7F3A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Üçgül</w:t>
            </w:r>
          </w:p>
          <w:p w14:paraId="4F962FD2" w14:textId="1519DEEE" w:rsidR="001132CD" w:rsidRPr="001A7F3A" w:rsidRDefault="0095308B" w:rsidP="0095308B">
            <w:pPr>
              <w:jc w:val="both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A7F3A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Dr.Emine</w:t>
            </w:r>
            <w:proofErr w:type="spellEnd"/>
            <w:r w:rsidRPr="001A7F3A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Büşra Ata</w:t>
            </w:r>
          </w:p>
        </w:tc>
      </w:tr>
      <w:tr w:rsidR="001A7F3A" w:rsidRPr="001A7F3A" w14:paraId="0DC06EAF" w14:textId="77777777" w:rsidTr="001A7F3A">
        <w:tc>
          <w:tcPr>
            <w:tcW w:w="4536" w:type="dxa"/>
          </w:tcPr>
          <w:p w14:paraId="40D2D958" w14:textId="77777777" w:rsidR="00800670" w:rsidRPr="001A7F3A" w:rsidRDefault="00800670" w:rsidP="008C10C5">
            <w:pPr>
              <w:jc w:val="both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7F3A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Enfeksiyon Hastalıkları ve Klinik Mikrobiyoloji</w:t>
            </w:r>
          </w:p>
        </w:tc>
        <w:tc>
          <w:tcPr>
            <w:tcW w:w="5954" w:type="dxa"/>
          </w:tcPr>
          <w:p w14:paraId="46AA4907" w14:textId="6FEBAC63" w:rsidR="00800670" w:rsidRPr="001A7F3A" w:rsidRDefault="0095308B" w:rsidP="0095308B">
            <w:pPr>
              <w:jc w:val="both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A7F3A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Dr.Zeynep</w:t>
            </w:r>
            <w:proofErr w:type="spellEnd"/>
            <w:r w:rsidRPr="001A7F3A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Cansu</w:t>
            </w:r>
            <w:r w:rsidRPr="001A7F3A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>Çalışk</w:t>
            </w:r>
            <w:bookmarkStart w:id="0" w:name="_GoBack"/>
            <w:bookmarkEnd w:id="0"/>
            <w:r w:rsidRPr="001A7F3A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</w:t>
            </w:r>
          </w:p>
        </w:tc>
      </w:tr>
      <w:tr w:rsidR="001A7F3A" w:rsidRPr="001A7F3A" w14:paraId="192232FA" w14:textId="77777777" w:rsidTr="001A7F3A">
        <w:tc>
          <w:tcPr>
            <w:tcW w:w="4536" w:type="dxa"/>
          </w:tcPr>
          <w:p w14:paraId="5BF0A323" w14:textId="77777777" w:rsidR="001132CD" w:rsidRPr="001A7F3A" w:rsidRDefault="001132CD" w:rsidP="00F47AC7">
            <w:pPr>
              <w:jc w:val="both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7F3A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Göğüs Hastalıkları</w:t>
            </w:r>
          </w:p>
        </w:tc>
        <w:tc>
          <w:tcPr>
            <w:tcW w:w="5954" w:type="dxa"/>
          </w:tcPr>
          <w:p w14:paraId="39AF677F" w14:textId="4D8ADD59" w:rsidR="001132CD" w:rsidRPr="001A7F3A" w:rsidRDefault="0095308B" w:rsidP="00F47AC7">
            <w:pPr>
              <w:jc w:val="both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A7F3A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Dr.Maide</w:t>
            </w:r>
            <w:proofErr w:type="spellEnd"/>
            <w:r w:rsidRPr="001A7F3A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Gözde İnam</w:t>
            </w:r>
          </w:p>
        </w:tc>
      </w:tr>
      <w:tr w:rsidR="001A7F3A" w:rsidRPr="001A7F3A" w14:paraId="5199561F" w14:textId="77777777" w:rsidTr="001A7F3A">
        <w:tc>
          <w:tcPr>
            <w:tcW w:w="4536" w:type="dxa"/>
          </w:tcPr>
          <w:p w14:paraId="500A715E" w14:textId="77777777" w:rsidR="001132CD" w:rsidRPr="001A7F3A" w:rsidRDefault="001132CD" w:rsidP="00F47AC7">
            <w:pPr>
              <w:jc w:val="both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7F3A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Kardiyoloji</w:t>
            </w:r>
          </w:p>
        </w:tc>
        <w:tc>
          <w:tcPr>
            <w:tcW w:w="5954" w:type="dxa"/>
          </w:tcPr>
          <w:p w14:paraId="3BAC071A" w14:textId="26FD6028" w:rsidR="001132CD" w:rsidRPr="001A7F3A" w:rsidRDefault="0095308B" w:rsidP="00F47AC7">
            <w:pPr>
              <w:jc w:val="both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A7F3A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Dr.Gül</w:t>
            </w:r>
            <w:proofErr w:type="spellEnd"/>
            <w:r w:rsidRPr="001A7F3A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Sinem Kılıç</w:t>
            </w:r>
          </w:p>
        </w:tc>
      </w:tr>
    </w:tbl>
    <w:p w14:paraId="0289CFC3" w14:textId="77777777" w:rsidR="00F47AC7" w:rsidRPr="00FC3F52" w:rsidRDefault="00F47AC7" w:rsidP="00C8705C">
      <w:pPr>
        <w:jc w:val="both"/>
        <w:rPr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47AC7" w:rsidRPr="00FC3F52" w:rsidSect="00B00A7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B17E0"/>
    <w:multiLevelType w:val="hybridMultilevel"/>
    <w:tmpl w:val="B2DAF3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1F"/>
    <w:rsid w:val="00101DC0"/>
    <w:rsid w:val="001132CD"/>
    <w:rsid w:val="00187D36"/>
    <w:rsid w:val="001A7F3A"/>
    <w:rsid w:val="003151BE"/>
    <w:rsid w:val="003A5F43"/>
    <w:rsid w:val="003D41F5"/>
    <w:rsid w:val="0042651F"/>
    <w:rsid w:val="00705D87"/>
    <w:rsid w:val="007D3261"/>
    <w:rsid w:val="00800670"/>
    <w:rsid w:val="009222A9"/>
    <w:rsid w:val="00943CBE"/>
    <w:rsid w:val="0095308B"/>
    <w:rsid w:val="00965936"/>
    <w:rsid w:val="00A45D5A"/>
    <w:rsid w:val="00AC7206"/>
    <w:rsid w:val="00B00A7E"/>
    <w:rsid w:val="00C8705C"/>
    <w:rsid w:val="00D11CE6"/>
    <w:rsid w:val="00D75A7A"/>
    <w:rsid w:val="00D971B7"/>
    <w:rsid w:val="00E812B2"/>
    <w:rsid w:val="00EE5A41"/>
    <w:rsid w:val="00F47AC7"/>
    <w:rsid w:val="00FC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F9F9"/>
  <w15:chartTrackingRefBased/>
  <w15:docId w15:val="{6A73F1B7-3818-4DD1-A1F9-3A8474F6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7AC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47AC7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D9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1B921-FEA2-43DA-9A3E-B6C616E6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2022-02-18T08:30:00Z</cp:lastPrinted>
  <dcterms:created xsi:type="dcterms:W3CDTF">2022-02-03T06:29:00Z</dcterms:created>
  <dcterms:modified xsi:type="dcterms:W3CDTF">2022-02-18T08:31:00Z</dcterms:modified>
</cp:coreProperties>
</file>